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13" w:rsidRPr="00EF7E6E" w:rsidRDefault="00043613">
      <w:pPr>
        <w:jc w:val="both"/>
        <w:rPr>
          <w:rFonts w:cs="Arial Narrow"/>
          <w:bCs/>
          <w:u w:val="single"/>
        </w:rPr>
      </w:pPr>
      <w:r w:rsidRPr="00EF7E6E">
        <w:rPr>
          <w:bCs/>
          <w:u w:val="single"/>
        </w:rPr>
        <w:t>Integración del ferrocarril en la capital murciana</w:t>
      </w:r>
    </w:p>
    <w:p w:rsidR="00043613" w:rsidRPr="00EF7E6E" w:rsidRDefault="00043613">
      <w:pPr>
        <w:pStyle w:val="Ttulo5"/>
        <w:rPr>
          <w:rFonts w:eastAsia="Arial Unicode MS"/>
          <w:bCs w:val="0"/>
        </w:rPr>
      </w:pPr>
      <w:r w:rsidRPr="00EF7E6E">
        <w:rPr>
          <w:bCs w:val="0"/>
          <w:lang w:val="es-ES_tradnl"/>
        </w:rPr>
        <w:t xml:space="preserve"> </w:t>
      </w:r>
    </w:p>
    <w:p w:rsidR="00043613" w:rsidRPr="00EF7E6E" w:rsidRDefault="00043613">
      <w:pPr>
        <w:jc w:val="both"/>
        <w:rPr>
          <w:b/>
          <w:sz w:val="44"/>
          <w:szCs w:val="44"/>
        </w:rPr>
      </w:pPr>
      <w:r w:rsidRPr="00EF7E6E">
        <w:rPr>
          <w:b/>
          <w:sz w:val="44"/>
          <w:szCs w:val="44"/>
        </w:rPr>
        <w:t xml:space="preserve">Adif Alta Velocidad </w:t>
      </w:r>
      <w:r w:rsidR="00EF7E6E" w:rsidRPr="00EF7E6E">
        <w:rPr>
          <w:b/>
          <w:sz w:val="44"/>
          <w:szCs w:val="44"/>
        </w:rPr>
        <w:t>adjudic</w:t>
      </w:r>
      <w:r w:rsidRPr="00EF7E6E">
        <w:rPr>
          <w:b/>
          <w:sz w:val="44"/>
          <w:szCs w:val="44"/>
        </w:rPr>
        <w:t>a la redacción del proyecto de soterramiento de los accesos ferroviarios a Murcia</w:t>
      </w:r>
    </w:p>
    <w:p w:rsidR="00043613" w:rsidRPr="00EF7E6E" w:rsidRDefault="00043613">
      <w:pPr>
        <w:jc w:val="both"/>
        <w:rPr>
          <w:rFonts w:eastAsia="Times" w:cs="Times New Roman"/>
          <w:b/>
          <w:bCs/>
          <w:lang w:val="es-ES_tradnl"/>
        </w:rPr>
      </w:pPr>
    </w:p>
    <w:p w:rsidR="00043613" w:rsidRPr="00EF7E6E" w:rsidRDefault="00043613">
      <w:pPr>
        <w:numPr>
          <w:ilvl w:val="0"/>
          <w:numId w:val="34"/>
        </w:numPr>
        <w:jc w:val="both"/>
        <w:outlineLvl w:val="0"/>
        <w:rPr>
          <w:b/>
        </w:rPr>
      </w:pPr>
      <w:r w:rsidRPr="00EF7E6E">
        <w:rPr>
          <w:b/>
        </w:rPr>
        <w:t>El proyecto comprende un trazado de aproximadamente 8 km a lo largo de la línea de ancho convencional Chinchilla-Cartagena, desde el centro logístico ferroviario de Nonduermas hasta la conexión con la variante de acceso de la línea de alta velocidad</w:t>
      </w:r>
    </w:p>
    <w:p w:rsidR="00043613" w:rsidRPr="00EF7E6E" w:rsidRDefault="00043613">
      <w:pPr>
        <w:numPr>
          <w:ilvl w:val="0"/>
          <w:numId w:val="34"/>
        </w:numPr>
        <w:jc w:val="both"/>
        <w:outlineLvl w:val="0"/>
        <w:rPr>
          <w:b/>
          <w:lang w:val="es-ES_tradnl"/>
        </w:rPr>
      </w:pPr>
      <w:r w:rsidRPr="00EF7E6E">
        <w:rPr>
          <w:b/>
          <w:lang w:val="es-ES_tradnl"/>
        </w:rPr>
        <w:t>Asimismo, incluye la adecuación de la estación de Murcia del Carmen y la supresión de todos los pasos a nivel del tramo</w:t>
      </w:r>
    </w:p>
    <w:p w:rsidR="00043613" w:rsidRPr="00EF7E6E" w:rsidRDefault="00043613">
      <w:pPr>
        <w:ind w:left="360"/>
        <w:jc w:val="both"/>
        <w:outlineLvl w:val="0"/>
        <w:rPr>
          <w:b/>
        </w:rPr>
      </w:pPr>
    </w:p>
    <w:p w:rsidR="00043613" w:rsidRPr="00EF7E6E" w:rsidRDefault="00043613">
      <w:pPr>
        <w:jc w:val="both"/>
        <w:outlineLvl w:val="0"/>
        <w:rPr>
          <w:u w:val="single"/>
        </w:rPr>
      </w:pPr>
    </w:p>
    <w:p w:rsidR="00043613" w:rsidRPr="00EF7E6E" w:rsidRDefault="00043613">
      <w:pPr>
        <w:jc w:val="both"/>
        <w:outlineLvl w:val="0"/>
        <w:rPr>
          <w:lang w:val="es-ES_tradnl"/>
        </w:rPr>
      </w:pPr>
      <w:r w:rsidRPr="00EF7E6E">
        <w:rPr>
          <w:u w:val="single"/>
        </w:rPr>
        <w:t>Murcia</w:t>
      </w:r>
      <w:r w:rsidRPr="00EF7E6E">
        <w:rPr>
          <w:u w:val="single"/>
          <w:lang w:val="es-ES_tradnl"/>
        </w:rPr>
        <w:t xml:space="preserve">, </w:t>
      </w:r>
      <w:r w:rsidR="006876A2">
        <w:rPr>
          <w:u w:val="single"/>
          <w:lang w:val="es-ES_tradnl"/>
        </w:rPr>
        <w:t>16</w:t>
      </w:r>
      <w:r w:rsidR="00EF7E6E" w:rsidRPr="00EF7E6E">
        <w:rPr>
          <w:u w:val="single"/>
          <w:lang w:val="es-ES_tradnl"/>
        </w:rPr>
        <w:t xml:space="preserve"> de marzo de 2015</w:t>
      </w:r>
      <w:r w:rsidRPr="00EF7E6E">
        <w:rPr>
          <w:u w:val="single"/>
          <w:lang w:val="es-ES_tradnl"/>
        </w:rPr>
        <w:t xml:space="preserve"> (Adif).</w:t>
      </w:r>
      <w:r w:rsidRPr="00EF7E6E">
        <w:rPr>
          <w:lang w:val="es-ES_tradnl"/>
        </w:rPr>
        <w:t xml:space="preserve"> </w:t>
      </w:r>
    </w:p>
    <w:p w:rsidR="00043613" w:rsidRPr="00EF7E6E" w:rsidRDefault="00043613">
      <w:pPr>
        <w:jc w:val="both"/>
        <w:rPr>
          <w:lang w:val="es-ES_tradnl"/>
        </w:rPr>
      </w:pPr>
    </w:p>
    <w:p w:rsidR="00043613" w:rsidRPr="00EF7E6E" w:rsidRDefault="00043613">
      <w:pPr>
        <w:ind w:right="-46"/>
        <w:jc w:val="both"/>
        <w:rPr>
          <w:szCs w:val="23"/>
        </w:rPr>
      </w:pPr>
      <w:r w:rsidRPr="00EF7E6E">
        <w:rPr>
          <w:szCs w:val="23"/>
        </w:rPr>
        <w:t xml:space="preserve">Adif Alta Velocidad ha </w:t>
      </w:r>
      <w:r w:rsidR="00EF7E6E" w:rsidRPr="00EF7E6E">
        <w:rPr>
          <w:szCs w:val="23"/>
        </w:rPr>
        <w:t xml:space="preserve">adjudicado, por importe de </w:t>
      </w:r>
      <w:r w:rsidR="00B36A54">
        <w:rPr>
          <w:szCs w:val="23"/>
        </w:rPr>
        <w:t>551.600</w:t>
      </w:r>
      <w:r w:rsidRPr="00E95545">
        <w:rPr>
          <w:color w:val="FF0000"/>
          <w:szCs w:val="23"/>
        </w:rPr>
        <w:t xml:space="preserve"> </w:t>
      </w:r>
      <w:r w:rsidRPr="00EF7E6E">
        <w:rPr>
          <w:szCs w:val="23"/>
        </w:rPr>
        <w:t xml:space="preserve">euros (IVA incluido), el contrato de servicios de asistencia para la redacción del proyecto de soterramiento de los accesos ferroviarios a Murcia. </w:t>
      </w:r>
    </w:p>
    <w:p w:rsidR="00043613" w:rsidRPr="00EF7E6E" w:rsidRDefault="00043613">
      <w:pPr>
        <w:ind w:right="-46"/>
        <w:jc w:val="both"/>
        <w:rPr>
          <w:szCs w:val="23"/>
          <w:lang w:val="es-ES_tradnl"/>
        </w:rPr>
      </w:pPr>
    </w:p>
    <w:p w:rsidR="00043613" w:rsidRPr="00EF7E6E" w:rsidRDefault="00043613">
      <w:pPr>
        <w:ind w:right="-46"/>
        <w:jc w:val="both"/>
        <w:rPr>
          <w:szCs w:val="23"/>
          <w:lang w:val="es-ES_tradnl"/>
        </w:rPr>
      </w:pPr>
      <w:r w:rsidRPr="00EF7E6E">
        <w:rPr>
          <w:szCs w:val="23"/>
          <w:lang w:val="es-ES_tradnl"/>
        </w:rPr>
        <w:t>Esta actuación</w:t>
      </w:r>
      <w:r w:rsidR="004075F3">
        <w:rPr>
          <w:szCs w:val="23"/>
          <w:lang w:val="es-ES_tradnl"/>
        </w:rPr>
        <w:t xml:space="preserve">, que será íntegramente financiada por la Sociedad Murcia Alta Velocidad, </w:t>
      </w:r>
      <w:r w:rsidRPr="00EF7E6E">
        <w:rPr>
          <w:szCs w:val="23"/>
          <w:lang w:val="es-ES_tradnl"/>
        </w:rPr>
        <w:t>dará continuidad a las obras de permeabilización de la infraestructura ferroviaria que se encuentran actualmente en ejecución, y que van a hacer posible la conexión de Murcia a la alta velocidad.</w:t>
      </w:r>
    </w:p>
    <w:p w:rsidR="00043613" w:rsidRPr="00EF7E6E" w:rsidRDefault="00043613">
      <w:pPr>
        <w:ind w:right="-46"/>
        <w:jc w:val="both"/>
        <w:rPr>
          <w:szCs w:val="23"/>
          <w:lang w:val="es-ES_tradnl"/>
        </w:rPr>
      </w:pPr>
    </w:p>
    <w:p w:rsidR="00043613" w:rsidRPr="00EF7E6E" w:rsidRDefault="00043613">
      <w:pPr>
        <w:ind w:right="-46"/>
        <w:jc w:val="both"/>
        <w:rPr>
          <w:szCs w:val="23"/>
          <w:lang w:val="es-ES_tradnl"/>
        </w:rPr>
      </w:pPr>
      <w:r w:rsidRPr="00EF7E6E">
        <w:rPr>
          <w:szCs w:val="23"/>
          <w:lang w:val="es-ES_tradnl"/>
        </w:rPr>
        <w:t>El proyecto comprende un trazado de aproximadamente 8 km, que discurre en su totalidad por el término municipal de la capital murciana, a lo largo de la actual línea de ancho convencional Chinchilla-Cartagena.</w:t>
      </w:r>
    </w:p>
    <w:p w:rsidR="00043613" w:rsidRPr="00EF7E6E" w:rsidRDefault="00043613">
      <w:pPr>
        <w:ind w:right="-46"/>
        <w:jc w:val="both"/>
        <w:rPr>
          <w:szCs w:val="23"/>
          <w:lang w:val="es-ES_tradnl"/>
        </w:rPr>
      </w:pPr>
    </w:p>
    <w:p w:rsidR="00043613" w:rsidRDefault="00043613">
      <w:pPr>
        <w:ind w:right="-46"/>
        <w:jc w:val="both"/>
        <w:rPr>
          <w:szCs w:val="23"/>
          <w:lang w:val="es-ES_tradnl"/>
        </w:rPr>
      </w:pPr>
      <w:r w:rsidRPr="00EF7E6E">
        <w:rPr>
          <w:szCs w:val="23"/>
          <w:lang w:val="es-ES_tradnl"/>
        </w:rPr>
        <w:t>El trazado del proyecto</w:t>
      </w:r>
      <w:r w:rsidR="00E95545">
        <w:rPr>
          <w:szCs w:val="23"/>
          <w:lang w:val="es-ES_tradnl"/>
        </w:rPr>
        <w:t>,</w:t>
      </w:r>
      <w:r w:rsidRPr="00EF7E6E">
        <w:rPr>
          <w:szCs w:val="23"/>
          <w:lang w:val="es-ES_tradnl"/>
        </w:rPr>
        <w:t xml:space="preserve"> </w:t>
      </w:r>
      <w:r w:rsidR="00EF7E6E" w:rsidRPr="00EF7E6E">
        <w:rPr>
          <w:szCs w:val="23"/>
          <w:lang w:val="es-ES_tradnl"/>
        </w:rPr>
        <w:t>adjudic</w:t>
      </w:r>
      <w:r w:rsidR="00E95545">
        <w:rPr>
          <w:szCs w:val="23"/>
          <w:lang w:val="es-ES_tradnl"/>
        </w:rPr>
        <w:t xml:space="preserve">ado a la </w:t>
      </w:r>
      <w:r w:rsidR="00B36A54">
        <w:rPr>
          <w:szCs w:val="23"/>
          <w:lang w:val="es-ES_tradnl"/>
        </w:rPr>
        <w:t>UTE formada por las empresas</w:t>
      </w:r>
      <w:r w:rsidR="006876A2">
        <w:rPr>
          <w:szCs w:val="23"/>
          <w:lang w:val="es-ES_tradnl"/>
        </w:rPr>
        <w:t xml:space="preserve"> </w:t>
      </w:r>
      <w:r w:rsidR="00B36A54">
        <w:rPr>
          <w:szCs w:val="23"/>
          <w:lang w:val="es-ES_tradnl"/>
        </w:rPr>
        <w:t>Investigación y Control de Calidad, y Geoconsult España Ingeniería y Consultoría</w:t>
      </w:r>
      <w:r w:rsidR="00E95545">
        <w:rPr>
          <w:szCs w:val="23"/>
          <w:lang w:val="es-ES_tradnl"/>
        </w:rPr>
        <w:t xml:space="preserve">, </w:t>
      </w:r>
      <w:r w:rsidRPr="00EF7E6E">
        <w:rPr>
          <w:szCs w:val="23"/>
          <w:lang w:val="es-ES_tradnl"/>
        </w:rPr>
        <w:t>se inicia en el centro logístico de N</w:t>
      </w:r>
      <w:r w:rsidR="00E95545">
        <w:rPr>
          <w:szCs w:val="23"/>
          <w:lang w:val="es-ES_tradnl"/>
        </w:rPr>
        <w:t xml:space="preserve">onduermas y </w:t>
      </w:r>
      <w:r w:rsidRPr="00EF7E6E">
        <w:rPr>
          <w:szCs w:val="23"/>
          <w:lang w:val="es-ES_tradnl"/>
        </w:rPr>
        <w:t xml:space="preserve">se desarrolla a lo largo de la actual plataforma ferroviaria convencional </w:t>
      </w:r>
      <w:r w:rsidRPr="00EF7E6E">
        <w:rPr>
          <w:szCs w:val="23"/>
          <w:lang w:val="es-ES_tradnl"/>
        </w:rPr>
        <w:lastRenderedPageBreak/>
        <w:t>hasta la conexión con la variante ferroviaria de acceso a Murcia de la línea de alta velocidad (variante de El Reguerón).</w:t>
      </w:r>
    </w:p>
    <w:p w:rsidR="004075F3" w:rsidRPr="00EF7E6E" w:rsidRDefault="004075F3">
      <w:pPr>
        <w:ind w:right="-46"/>
        <w:jc w:val="both"/>
        <w:rPr>
          <w:szCs w:val="23"/>
          <w:lang w:val="es-ES_tradnl"/>
        </w:rPr>
      </w:pPr>
    </w:p>
    <w:p w:rsidR="00043613" w:rsidRPr="00E95545" w:rsidRDefault="00043613">
      <w:pPr>
        <w:ind w:right="-46"/>
        <w:jc w:val="both"/>
        <w:rPr>
          <w:szCs w:val="23"/>
          <w:lang w:val="es-ES_tradnl"/>
        </w:rPr>
      </w:pPr>
      <w:r w:rsidRPr="00E95545">
        <w:rPr>
          <w:szCs w:val="23"/>
          <w:lang w:val="es-ES_tradnl"/>
        </w:rPr>
        <w:t>Las actuaciones comprenden la adaptación del pasillo ferroviario de forma que las circulaciones de alta velocidad sean plenamente compatibles con los restantes tipos de tráfico.</w:t>
      </w:r>
    </w:p>
    <w:p w:rsidR="00043613" w:rsidRPr="00E95545" w:rsidRDefault="00043613">
      <w:pPr>
        <w:ind w:right="-46"/>
        <w:jc w:val="both"/>
        <w:rPr>
          <w:szCs w:val="23"/>
          <w:lang w:val="es-ES_tradnl"/>
        </w:rPr>
      </w:pPr>
    </w:p>
    <w:p w:rsidR="00043613" w:rsidRPr="00E95545" w:rsidRDefault="00043613">
      <w:pPr>
        <w:ind w:right="-46"/>
        <w:jc w:val="both"/>
        <w:rPr>
          <w:szCs w:val="23"/>
          <w:lang w:val="es-ES_tradnl"/>
        </w:rPr>
      </w:pPr>
      <w:r w:rsidRPr="00E95545">
        <w:rPr>
          <w:szCs w:val="23"/>
          <w:lang w:val="es-ES_tradnl"/>
        </w:rPr>
        <w:t xml:space="preserve">Asimismo, el proyecto incluye la adecuación de la estación de Murcia del Carmen a la futura situación de la infraestructura ferroviaria, como consecuencia del soterramiento de la playa de vías que actualmente discurren en superficie. </w:t>
      </w:r>
    </w:p>
    <w:p w:rsidR="00043613" w:rsidRPr="00E95545" w:rsidRDefault="00043613">
      <w:pPr>
        <w:ind w:right="-46"/>
        <w:jc w:val="both"/>
        <w:rPr>
          <w:szCs w:val="23"/>
          <w:lang w:val="es-ES_tradnl"/>
        </w:rPr>
      </w:pPr>
    </w:p>
    <w:p w:rsidR="00043613" w:rsidRPr="00E95545" w:rsidRDefault="00043613">
      <w:pPr>
        <w:ind w:right="-46"/>
        <w:jc w:val="both"/>
        <w:rPr>
          <w:szCs w:val="23"/>
          <w:lang w:val="es-ES_tradnl"/>
        </w:rPr>
      </w:pPr>
      <w:r w:rsidRPr="00E95545">
        <w:rPr>
          <w:szCs w:val="23"/>
          <w:lang w:val="es-ES_tradnl"/>
        </w:rPr>
        <w:t>Se contemplará igualmente la adecuación de las zonas exteriores de la estación, su aparcamiento y vial de acceso, procediendo a su urbanización y ajardinamiento.</w:t>
      </w:r>
    </w:p>
    <w:p w:rsidR="00043613" w:rsidRPr="00E95545" w:rsidRDefault="00043613">
      <w:pPr>
        <w:ind w:right="-46"/>
        <w:jc w:val="both"/>
        <w:rPr>
          <w:szCs w:val="23"/>
          <w:lang w:val="es-ES_tradnl"/>
        </w:rPr>
      </w:pPr>
    </w:p>
    <w:p w:rsidR="00043613" w:rsidRPr="00E95545" w:rsidRDefault="00043613">
      <w:pPr>
        <w:ind w:right="-46"/>
        <w:jc w:val="both"/>
        <w:rPr>
          <w:szCs w:val="23"/>
          <w:lang w:val="es-ES_tradnl"/>
        </w:rPr>
      </w:pPr>
      <w:r w:rsidRPr="00E95545">
        <w:rPr>
          <w:szCs w:val="23"/>
          <w:lang w:val="es-ES_tradnl"/>
        </w:rPr>
        <w:t>Además, el proyecto contemplará todas las actuaciones que sean necesarias para la supresión de los pasos a nivel existentes.</w:t>
      </w:r>
    </w:p>
    <w:p w:rsidR="00043613" w:rsidRPr="00E95545" w:rsidRDefault="00043613">
      <w:pPr>
        <w:ind w:right="-46"/>
        <w:jc w:val="both"/>
        <w:rPr>
          <w:szCs w:val="23"/>
        </w:rPr>
      </w:pPr>
    </w:p>
    <w:p w:rsidR="00043613" w:rsidRPr="00E95545" w:rsidRDefault="00043613">
      <w:pPr>
        <w:ind w:right="-46"/>
        <w:jc w:val="both"/>
        <w:rPr>
          <w:szCs w:val="23"/>
        </w:rPr>
      </w:pPr>
    </w:p>
    <w:p w:rsidR="0095051B" w:rsidRPr="0095051B" w:rsidRDefault="0095051B" w:rsidP="0095051B">
      <w:pPr>
        <w:jc w:val="both"/>
        <w:rPr>
          <w:b/>
        </w:rPr>
      </w:pPr>
      <w:r w:rsidRPr="0095051B">
        <w:rPr>
          <w:b/>
        </w:rPr>
        <w:t>Financiación europea</w:t>
      </w:r>
    </w:p>
    <w:p w:rsidR="0095051B" w:rsidRDefault="0095051B" w:rsidP="0095051B">
      <w:pPr>
        <w:jc w:val="both"/>
      </w:pPr>
    </w:p>
    <w:p w:rsidR="00043613" w:rsidRPr="00E95545" w:rsidRDefault="0095051B" w:rsidP="0095051B">
      <w:pPr>
        <w:jc w:val="both"/>
      </w:pPr>
      <w:r>
        <w:t>Esta actuación podrá ser cofinanciada por el Fondo Europeo de Desarrollo Regional (FEDER).</w:t>
      </w:r>
    </w:p>
    <w:sectPr w:rsidR="00043613" w:rsidRPr="00E95545">
      <w:headerReference w:type="even" r:id="rId7"/>
      <w:headerReference w:type="default" r:id="rId8"/>
      <w:footerReference w:type="default" r:id="rId9"/>
      <w:pgSz w:w="11906" w:h="16838"/>
      <w:pgMar w:top="1417" w:right="1701" w:bottom="1417" w:left="28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14A" w:rsidRDefault="00B6414A">
      <w:r>
        <w:separator/>
      </w:r>
    </w:p>
  </w:endnote>
  <w:endnote w:type="continuationSeparator" w:id="1">
    <w:p w:rsidR="00B6414A" w:rsidRDefault="00B64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dif Pc Futura LT Book">
    <w:altName w:val="Adif Fago No Bold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altName w:val="Century Gothic"/>
    <w:charset w:val="00"/>
    <w:family w:val="swiss"/>
    <w:pitch w:val="variable"/>
    <w:sig w:usb0="00000001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2" w:type="dxa"/>
      <w:tblInd w:w="-2160" w:type="dxa"/>
      <w:tblLook w:val="04A0"/>
    </w:tblPr>
    <w:tblGrid>
      <w:gridCol w:w="2552"/>
      <w:gridCol w:w="5670"/>
      <w:gridCol w:w="2410"/>
    </w:tblGrid>
    <w:tr w:rsidR="00043613">
      <w:trPr>
        <w:trHeight w:val="567"/>
      </w:trPr>
      <w:tc>
        <w:tcPr>
          <w:tcW w:w="2552" w:type="dxa"/>
        </w:tcPr>
        <w:p w:rsidR="00043613" w:rsidRDefault="00043613">
          <w:pPr>
            <w:pStyle w:val="Encabezado"/>
            <w:tabs>
              <w:tab w:val="clear" w:pos="4252"/>
              <w:tab w:val="clear" w:pos="8504"/>
            </w:tabs>
            <w:rPr>
              <w:rFonts w:ascii="Gill Sans MT" w:hAnsi="Gill Sans MT"/>
              <w:sz w:val="10"/>
              <w:bdr w:val="single" w:sz="4" w:space="0" w:color="auto"/>
            </w:rPr>
          </w:pPr>
          <w:r>
            <w:rPr>
              <w:rFonts w:ascii="Gill Sans MT" w:hAnsi="Gill Sans MT"/>
              <w:sz w:val="10"/>
              <w:bdr w:val="single" w:sz="4" w:space="0" w:color="auto"/>
            </w:rPr>
            <w:t>CORREO ELECTRÓNICO</w:t>
          </w:r>
        </w:p>
        <w:p w:rsidR="00043613" w:rsidRDefault="00043613">
          <w:pPr>
            <w:pStyle w:val="Piedepgina"/>
            <w:ind w:right="-108"/>
            <w:rPr>
              <w:rFonts w:ascii="Verdana" w:hAnsi="Verdana"/>
              <w:i/>
              <w:sz w:val="16"/>
              <w:szCs w:val="16"/>
            </w:rPr>
          </w:pPr>
          <w:hyperlink r:id="rId1" w:history="1">
            <w:r>
              <w:rPr>
                <w:rStyle w:val="Hipervnculo"/>
                <w:sz w:val="18"/>
                <w:szCs w:val="18"/>
              </w:rPr>
              <w:t>prensa.este@adif.es</w:t>
            </w:r>
          </w:hyperlink>
        </w:p>
      </w:tc>
      <w:tc>
        <w:tcPr>
          <w:tcW w:w="5670" w:type="dxa"/>
          <w:tcBorders>
            <w:right w:val="single" w:sz="4" w:space="0" w:color="auto"/>
          </w:tcBorders>
        </w:tcPr>
        <w:p w:rsidR="00043613" w:rsidRDefault="00043613">
          <w:pPr>
            <w:pStyle w:val="Piedepgina"/>
            <w:ind w:right="-108"/>
            <w:jc w:val="center"/>
            <w:rPr>
              <w:i/>
              <w:sz w:val="15"/>
              <w:szCs w:val="15"/>
            </w:rPr>
          </w:pPr>
          <w:r>
            <w:rPr>
              <w:i/>
              <w:sz w:val="15"/>
              <w:szCs w:val="15"/>
            </w:rPr>
            <w:t>Esta información puede ser utilizada en su integridad o en parte sin necesidad de citar fuentes.</w:t>
          </w:r>
        </w:p>
      </w:tc>
      <w:tc>
        <w:tcPr>
          <w:tcW w:w="2410" w:type="dxa"/>
          <w:tcBorders>
            <w:left w:val="single" w:sz="4" w:space="0" w:color="auto"/>
          </w:tcBorders>
        </w:tcPr>
        <w:p w:rsidR="00043613" w:rsidRDefault="00043613">
          <w:pPr>
            <w:ind w:left="34"/>
            <w:jc w:val="both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CALLE XÁTIVA, 24</w:t>
          </w:r>
        </w:p>
        <w:p w:rsidR="00043613" w:rsidRDefault="00043613">
          <w:pPr>
            <w:ind w:left="34"/>
            <w:jc w:val="both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46007 - VALENCIA</w:t>
          </w:r>
        </w:p>
        <w:p w:rsidR="00043613" w:rsidRDefault="00043613">
          <w:pPr>
            <w:ind w:left="34"/>
            <w:jc w:val="both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TEL: 96 381 95 26 / 27</w:t>
          </w:r>
        </w:p>
        <w:p w:rsidR="00043613" w:rsidRDefault="00043613">
          <w:pPr>
            <w:pBdr>
              <w:left w:val="single" w:sz="4" w:space="4" w:color="auto"/>
            </w:pBdr>
            <w:ind w:right="-108"/>
            <w:rPr>
              <w:szCs w:val="14"/>
            </w:rPr>
          </w:pPr>
          <w:r>
            <w:rPr>
              <w:rFonts w:ascii="Gill Sans MT" w:hAnsi="Gill Sans MT"/>
              <w:sz w:val="10"/>
            </w:rPr>
            <w:t xml:space="preserve"> FAX: 96 3 53 70 24</w:t>
          </w:r>
        </w:p>
      </w:tc>
    </w:tr>
    <w:tr w:rsidR="00043613">
      <w:trPr>
        <w:gridAfter w:val="1"/>
        <w:wAfter w:w="2410" w:type="dxa"/>
      </w:trPr>
      <w:tc>
        <w:tcPr>
          <w:tcW w:w="2552" w:type="dxa"/>
        </w:tcPr>
        <w:p w:rsidR="00043613" w:rsidRDefault="00043613">
          <w:pPr>
            <w:pStyle w:val="Piedepgina"/>
          </w:pPr>
          <w:r>
            <w:rPr>
              <w:rFonts w:ascii="Arial" w:hAnsi="Arial"/>
              <w:sz w:val="20"/>
            </w:rPr>
            <w:t xml:space="preserve">Página </w:t>
          </w:r>
          <w:r>
            <w:rPr>
              <w:rFonts w:ascii="Arial" w:hAnsi="Arial"/>
              <w:sz w:val="20"/>
            </w:rPr>
            <w:fldChar w:fldCharType="begin"/>
          </w:r>
          <w:r>
            <w:rPr>
              <w:rFonts w:ascii="Arial" w:hAnsi="Arial"/>
              <w:sz w:val="20"/>
            </w:rPr>
            <w:instrText xml:space="preserve"> PAGE </w:instrText>
          </w:r>
          <w:r>
            <w:rPr>
              <w:rFonts w:ascii="Arial" w:hAnsi="Arial"/>
              <w:sz w:val="20"/>
            </w:rPr>
            <w:fldChar w:fldCharType="separate"/>
          </w:r>
          <w:r w:rsidR="004E5782">
            <w:rPr>
              <w:rFonts w:ascii="Arial" w:hAnsi="Arial"/>
              <w:noProof/>
              <w:sz w:val="20"/>
            </w:rPr>
            <w:t>2</w:t>
          </w:r>
          <w:r>
            <w:rPr>
              <w:rFonts w:ascii="Arial" w:hAnsi="Arial"/>
              <w:sz w:val="20"/>
            </w:rPr>
            <w:fldChar w:fldCharType="end"/>
          </w:r>
          <w:r>
            <w:rPr>
              <w:rFonts w:ascii="Arial" w:hAnsi="Arial"/>
              <w:sz w:val="20"/>
            </w:rPr>
            <w:t xml:space="preserve"> de </w:t>
          </w:r>
          <w:r>
            <w:rPr>
              <w:rFonts w:ascii="Arial" w:hAnsi="Arial"/>
              <w:sz w:val="20"/>
            </w:rPr>
            <w:fldChar w:fldCharType="begin"/>
          </w:r>
          <w:r>
            <w:rPr>
              <w:rFonts w:ascii="Arial" w:hAnsi="Arial"/>
              <w:sz w:val="20"/>
            </w:rPr>
            <w:instrText xml:space="preserve"> NUMPAGES </w:instrText>
          </w:r>
          <w:r>
            <w:rPr>
              <w:rFonts w:ascii="Arial" w:hAnsi="Arial"/>
              <w:sz w:val="20"/>
            </w:rPr>
            <w:fldChar w:fldCharType="separate"/>
          </w:r>
          <w:r w:rsidR="004E5782">
            <w:rPr>
              <w:rFonts w:ascii="Arial" w:hAnsi="Arial"/>
              <w:noProof/>
              <w:sz w:val="20"/>
            </w:rPr>
            <w:t>2</w:t>
          </w:r>
          <w:r>
            <w:rPr>
              <w:rFonts w:ascii="Arial" w:hAnsi="Arial"/>
              <w:sz w:val="20"/>
            </w:rPr>
            <w:fldChar w:fldCharType="end"/>
          </w:r>
        </w:p>
      </w:tc>
      <w:tc>
        <w:tcPr>
          <w:tcW w:w="5670" w:type="dxa"/>
          <w:tcBorders>
            <w:right w:val="single" w:sz="4" w:space="0" w:color="auto"/>
          </w:tcBorders>
        </w:tcPr>
        <w:p w:rsidR="00043613" w:rsidRDefault="00043613">
          <w:pPr>
            <w:pStyle w:val="Piedepgina"/>
            <w:jc w:val="center"/>
            <w:rPr>
              <w:rFonts w:ascii="Verdana" w:hAnsi="Verdana"/>
              <w:i/>
              <w:sz w:val="16"/>
              <w:szCs w:val="16"/>
            </w:rPr>
          </w:pPr>
          <w:r>
            <w:rPr>
              <w:b/>
              <w:bCs/>
              <w:sz w:val="22"/>
            </w:rPr>
            <w:t>www.adifaltavelocidad.es</w:t>
          </w:r>
        </w:p>
      </w:tc>
    </w:tr>
  </w:tbl>
  <w:p w:rsidR="00043613" w:rsidRDefault="00043613">
    <w:pPr>
      <w:pStyle w:val="Piedepgina"/>
      <w:rPr>
        <w:rFonts w:ascii="Verdana" w:hAnsi="Verdana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14A" w:rsidRDefault="00B6414A">
      <w:r>
        <w:separator/>
      </w:r>
    </w:p>
  </w:footnote>
  <w:footnote w:type="continuationSeparator" w:id="1">
    <w:p w:rsidR="00B6414A" w:rsidRDefault="00B64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613" w:rsidRDefault="0040792C">
    <w:pPr>
      <w:pStyle w:val="Encabezado"/>
    </w:pPr>
    <w:r>
      <w:rPr>
        <w:noProof/>
      </w:rPr>
      <w:drawing>
        <wp:inline distT="0" distB="0" distL="0" distR="0">
          <wp:extent cx="2001520" cy="810895"/>
          <wp:effectExtent l="19050" t="0" r="0" b="0"/>
          <wp:docPr id="2" name="Imagen 2" descr="Logobanner_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banner_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520" cy="810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-2028" w:type="dxa"/>
      <w:tblLayout w:type="fixed"/>
      <w:tblCellMar>
        <w:left w:w="70" w:type="dxa"/>
        <w:right w:w="70" w:type="dxa"/>
      </w:tblCellMar>
      <w:tblLook w:val="0000"/>
    </w:tblPr>
    <w:tblGrid>
      <w:gridCol w:w="1276"/>
      <w:gridCol w:w="2082"/>
      <w:gridCol w:w="4155"/>
      <w:gridCol w:w="2693"/>
    </w:tblGrid>
    <w:tr w:rsidR="00043613">
      <w:tblPrEx>
        <w:tblCellMar>
          <w:top w:w="0" w:type="dxa"/>
          <w:bottom w:w="0" w:type="dxa"/>
        </w:tblCellMar>
      </w:tblPrEx>
      <w:trPr>
        <w:cantSplit/>
        <w:trHeight w:val="1515"/>
      </w:trPr>
      <w:tc>
        <w:tcPr>
          <w:tcW w:w="1276" w:type="dxa"/>
        </w:tcPr>
        <w:p w:rsidR="00043613" w:rsidRDefault="00043613">
          <w:pPr>
            <w:pStyle w:val="Encabezado"/>
            <w:tabs>
              <w:tab w:val="clear" w:pos="4252"/>
              <w:tab w:val="clear" w:pos="8504"/>
            </w:tabs>
          </w:pPr>
          <w:r>
            <w:object w:dxaOrig="1081" w:dyaOrig="11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05pt;height:59.1pt" o:ole="" fillcolor="window">
                <v:imagedata r:id="rId1" o:title=""/>
              </v:shape>
              <o:OLEObject Type="Embed" ProgID="Word.Picture.8" ShapeID="_x0000_i1025" DrawAspect="Content" ObjectID="_1488036922" r:id="rId2"/>
            </w:object>
          </w:r>
        </w:p>
      </w:tc>
      <w:tc>
        <w:tcPr>
          <w:tcW w:w="2082" w:type="dxa"/>
        </w:tcPr>
        <w:p w:rsidR="00043613" w:rsidRDefault="00043613">
          <w:pPr>
            <w:spacing w:before="360"/>
            <w:rPr>
              <w:rFonts w:ascii="Garamond" w:hAnsi="Garamond"/>
              <w:sz w:val="22"/>
            </w:rPr>
          </w:pPr>
          <w:r>
            <w:rPr>
              <w:rFonts w:ascii="Gill Sans MT" w:hAnsi="Gill Sans MT"/>
              <w:sz w:val="22"/>
            </w:rPr>
            <w:t xml:space="preserve">MINISTERIO </w:t>
          </w:r>
        </w:p>
        <w:p w:rsidR="00043613" w:rsidRDefault="00043613">
          <w:pPr>
            <w:pStyle w:val="Encabezado"/>
            <w:tabs>
              <w:tab w:val="clear" w:pos="4252"/>
              <w:tab w:val="left" w:pos="2127"/>
              <w:tab w:val="left" w:pos="6521"/>
            </w:tabs>
            <w:rPr>
              <w:rFonts w:ascii="Gill Sans MT" w:hAnsi="Gill Sans MT"/>
              <w:sz w:val="22"/>
            </w:rPr>
          </w:pPr>
          <w:r>
            <w:rPr>
              <w:rFonts w:ascii="Gill Sans MT" w:hAnsi="Gill Sans MT"/>
              <w:sz w:val="22"/>
            </w:rPr>
            <w:t>DE FOMENTO</w:t>
          </w:r>
        </w:p>
      </w:tc>
      <w:tc>
        <w:tcPr>
          <w:tcW w:w="4155" w:type="dxa"/>
        </w:tcPr>
        <w:p w:rsidR="00043613" w:rsidRDefault="00043613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</w:p>
      </w:tc>
      <w:tc>
        <w:tcPr>
          <w:tcW w:w="2693" w:type="dxa"/>
        </w:tcPr>
        <w:p w:rsidR="00043613" w:rsidRDefault="0040792C">
          <w:pPr>
            <w:pStyle w:val="Encabezado"/>
            <w:tabs>
              <w:tab w:val="clear" w:pos="4252"/>
              <w:tab w:val="left" w:pos="6521"/>
            </w:tabs>
            <w:ind w:left="210" w:hanging="21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-29210</wp:posOffset>
                </wp:positionH>
                <wp:positionV relativeFrom="margin">
                  <wp:posOffset>169545</wp:posOffset>
                </wp:positionV>
                <wp:extent cx="1573530" cy="433070"/>
                <wp:effectExtent l="19050" t="0" r="7620" b="0"/>
                <wp:wrapSquare wrapText="bothSides"/>
                <wp:docPr id="10" name="Imagen 10" descr="const-horiz-descrip AV fago color d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onst-horiz-descrip AV fago color 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3530" cy="433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043613" w:rsidRDefault="00043613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06.95pt;margin-top:148.35pt;width:63pt;height:420.7pt;z-index:251657216;mso-position-horizontal-relative:text;mso-position-vertical-relative:text" filled="f" stroked="f">
          <v:textbox style="layout-flow:vertical;mso-layout-flow-alt:bottom-to-top;mso-next-textbox:#_x0000_s2049">
            <w:txbxContent>
              <w:p w:rsidR="00043613" w:rsidRDefault="00043613">
                <w:pPr>
                  <w:pStyle w:val="Ttulo4"/>
                  <w:rPr>
                    <w:color w:val="006338"/>
                  </w:rPr>
                </w:pPr>
                <w:r>
                  <w:rPr>
                    <w:color w:val="006338"/>
                  </w:rPr>
                  <w:t>Nota de prensa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0E81"/>
    <w:multiLevelType w:val="hybridMultilevel"/>
    <w:tmpl w:val="1A5826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54995"/>
    <w:multiLevelType w:val="hybridMultilevel"/>
    <w:tmpl w:val="0DAA971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570"/>
        </w:tabs>
        <w:ind w:left="57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</w:abstractNum>
  <w:abstractNum w:abstractNumId="2">
    <w:nsid w:val="0EA04629"/>
    <w:multiLevelType w:val="hybridMultilevel"/>
    <w:tmpl w:val="9A9257F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F93B32"/>
    <w:multiLevelType w:val="hybridMultilevel"/>
    <w:tmpl w:val="4796ADB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C2A3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3C93B97"/>
    <w:multiLevelType w:val="multilevel"/>
    <w:tmpl w:val="A10A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780478"/>
    <w:multiLevelType w:val="hybridMultilevel"/>
    <w:tmpl w:val="45ECC35E"/>
    <w:lvl w:ilvl="0" w:tplc="4DE2515A">
      <w:start w:val="4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19323DF3"/>
    <w:multiLevelType w:val="hybridMultilevel"/>
    <w:tmpl w:val="20328D1C"/>
    <w:lvl w:ilvl="0" w:tplc="727EB9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823E67"/>
    <w:multiLevelType w:val="hybridMultilevel"/>
    <w:tmpl w:val="7AB29DE8"/>
    <w:lvl w:ilvl="0" w:tplc="57C214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0503BF"/>
    <w:multiLevelType w:val="hybridMultilevel"/>
    <w:tmpl w:val="02ACFF46"/>
    <w:lvl w:ilvl="0" w:tplc="C720B0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F8F5FB1"/>
    <w:multiLevelType w:val="hybridMultilevel"/>
    <w:tmpl w:val="BD68E3CA"/>
    <w:lvl w:ilvl="0" w:tplc="D8F81D5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610674"/>
    <w:multiLevelType w:val="hybridMultilevel"/>
    <w:tmpl w:val="AA668F18"/>
    <w:lvl w:ilvl="0" w:tplc="71BA44E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67CBB"/>
    <w:multiLevelType w:val="hybridMultilevel"/>
    <w:tmpl w:val="A82AFD78"/>
    <w:lvl w:ilvl="0" w:tplc="0C7E89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472169"/>
    <w:multiLevelType w:val="hybridMultilevel"/>
    <w:tmpl w:val="DFCADD4C"/>
    <w:lvl w:ilvl="0" w:tplc="57C214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58203E"/>
    <w:multiLevelType w:val="hybridMultilevel"/>
    <w:tmpl w:val="0082DBE4"/>
    <w:lvl w:ilvl="0" w:tplc="F4E8EEDC">
      <w:start w:val="2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55C56F0"/>
    <w:multiLevelType w:val="hybridMultilevel"/>
    <w:tmpl w:val="E7764B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6D3FF7"/>
    <w:multiLevelType w:val="hybridMultilevel"/>
    <w:tmpl w:val="6BBA5A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B2186"/>
    <w:multiLevelType w:val="hybridMultilevel"/>
    <w:tmpl w:val="704A382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8C7B00"/>
    <w:multiLevelType w:val="hybridMultilevel"/>
    <w:tmpl w:val="DEE46CBC"/>
    <w:lvl w:ilvl="0" w:tplc="71BA44E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B4472"/>
    <w:multiLevelType w:val="hybridMultilevel"/>
    <w:tmpl w:val="31CCE106"/>
    <w:lvl w:ilvl="0" w:tplc="1494B86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DF4FCB"/>
    <w:multiLevelType w:val="hybridMultilevel"/>
    <w:tmpl w:val="7B92F70A"/>
    <w:lvl w:ilvl="0" w:tplc="8FE849D2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4E267B"/>
    <w:multiLevelType w:val="hybridMultilevel"/>
    <w:tmpl w:val="2C26F424"/>
    <w:lvl w:ilvl="0" w:tplc="48043BA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432714"/>
    <w:multiLevelType w:val="hybridMultilevel"/>
    <w:tmpl w:val="67361888"/>
    <w:lvl w:ilvl="0" w:tplc="EF8EA318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D16959"/>
    <w:multiLevelType w:val="hybridMultilevel"/>
    <w:tmpl w:val="A10A6D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D574C6"/>
    <w:multiLevelType w:val="multilevel"/>
    <w:tmpl w:val="A4BC71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8016A2"/>
    <w:multiLevelType w:val="hybridMultilevel"/>
    <w:tmpl w:val="DDD84E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9B15AB"/>
    <w:multiLevelType w:val="hybridMultilevel"/>
    <w:tmpl w:val="0D64FA0C"/>
    <w:lvl w:ilvl="0" w:tplc="082603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F87822"/>
    <w:multiLevelType w:val="hybridMultilevel"/>
    <w:tmpl w:val="132244D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2204EA2"/>
    <w:multiLevelType w:val="hybridMultilevel"/>
    <w:tmpl w:val="C276AD04"/>
    <w:lvl w:ilvl="0" w:tplc="71BA44E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0D04D0"/>
    <w:multiLevelType w:val="hybridMultilevel"/>
    <w:tmpl w:val="EC340916"/>
    <w:lvl w:ilvl="0" w:tplc="59F2007C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101AF9"/>
    <w:multiLevelType w:val="hybridMultilevel"/>
    <w:tmpl w:val="F80ECBCC"/>
    <w:lvl w:ilvl="0" w:tplc="71BA44E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C42AC4"/>
    <w:multiLevelType w:val="hybridMultilevel"/>
    <w:tmpl w:val="7C9E56AE"/>
    <w:lvl w:ilvl="0" w:tplc="30B4C8DE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DD86A7E"/>
    <w:multiLevelType w:val="multilevel"/>
    <w:tmpl w:val="DFCADD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723CCD"/>
    <w:multiLevelType w:val="hybridMultilevel"/>
    <w:tmpl w:val="E0FEF01E"/>
    <w:lvl w:ilvl="0" w:tplc="B7B8B4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 Narrow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86633E"/>
    <w:multiLevelType w:val="singleLevel"/>
    <w:tmpl w:val="3A3425FA"/>
    <w:lvl w:ilvl="0">
      <w:start w:val="2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4">
    <w:nsid w:val="76265E79"/>
    <w:multiLevelType w:val="hybridMultilevel"/>
    <w:tmpl w:val="E2B6E02E"/>
    <w:lvl w:ilvl="0" w:tplc="B5D64FA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810761"/>
    <w:multiLevelType w:val="hybridMultilevel"/>
    <w:tmpl w:val="EABE09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0F28C5"/>
    <w:multiLevelType w:val="hybridMultilevel"/>
    <w:tmpl w:val="A4BC710E"/>
    <w:lvl w:ilvl="0" w:tplc="57C214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5"/>
  </w:num>
  <w:num w:numId="3">
    <w:abstractNumId w:val="22"/>
  </w:num>
  <w:num w:numId="4">
    <w:abstractNumId w:val="7"/>
  </w:num>
  <w:num w:numId="5">
    <w:abstractNumId w:val="12"/>
  </w:num>
  <w:num w:numId="6">
    <w:abstractNumId w:val="31"/>
  </w:num>
  <w:num w:numId="7">
    <w:abstractNumId w:val="16"/>
  </w:num>
  <w:num w:numId="8">
    <w:abstractNumId w:val="4"/>
  </w:num>
  <w:num w:numId="9">
    <w:abstractNumId w:val="25"/>
  </w:num>
  <w:num w:numId="10">
    <w:abstractNumId w:val="1"/>
  </w:num>
  <w:num w:numId="11">
    <w:abstractNumId w:val="14"/>
  </w:num>
  <w:num w:numId="12">
    <w:abstractNumId w:val="34"/>
  </w:num>
  <w:num w:numId="13">
    <w:abstractNumId w:val="36"/>
  </w:num>
  <w:num w:numId="14">
    <w:abstractNumId w:val="23"/>
  </w:num>
  <w:num w:numId="15">
    <w:abstractNumId w:val="2"/>
  </w:num>
  <w:num w:numId="16">
    <w:abstractNumId w:val="18"/>
  </w:num>
  <w:num w:numId="17">
    <w:abstractNumId w:val="9"/>
  </w:num>
  <w:num w:numId="18">
    <w:abstractNumId w:val="11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33"/>
  </w:num>
  <w:num w:numId="24">
    <w:abstractNumId w:val="20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5"/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6"/>
  </w:num>
  <w:num w:numId="31">
    <w:abstractNumId w:val="15"/>
  </w:num>
  <w:num w:numId="3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29"/>
  </w:num>
  <w:num w:numId="37">
    <w:abstractNumId w:val="10"/>
  </w:num>
  <w:num w:numId="38">
    <w:abstractNumId w:val="17"/>
  </w:num>
  <w:num w:numId="39">
    <w:abstractNumId w:val="27"/>
  </w:num>
  <w:num w:numId="4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95219"/>
    <w:rsid w:val="00043613"/>
    <w:rsid w:val="004075F3"/>
    <w:rsid w:val="0040792C"/>
    <w:rsid w:val="004E5782"/>
    <w:rsid w:val="00537AAC"/>
    <w:rsid w:val="006876A2"/>
    <w:rsid w:val="00691207"/>
    <w:rsid w:val="0073587E"/>
    <w:rsid w:val="00737928"/>
    <w:rsid w:val="0090453B"/>
    <w:rsid w:val="0095051B"/>
    <w:rsid w:val="00954569"/>
    <w:rsid w:val="009B0EF1"/>
    <w:rsid w:val="00AD15CF"/>
    <w:rsid w:val="00AF116B"/>
    <w:rsid w:val="00B36A54"/>
    <w:rsid w:val="00B6414A"/>
    <w:rsid w:val="00B84A56"/>
    <w:rsid w:val="00D95219"/>
    <w:rsid w:val="00DA205A"/>
    <w:rsid w:val="00DC6657"/>
    <w:rsid w:val="00E95545"/>
    <w:rsid w:val="00EF7E6E"/>
    <w:rsid w:val="00FC5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hAnsi="Arial Narrow" w:cs="Arial"/>
      <w:sz w:val="28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Cs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dif Pc Futura LT Book" w:eastAsia="Times" w:hAnsi="Adif Pc Futura LT Book"/>
      <w:sz w:val="24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Times New Roman"/>
      <w:sz w:val="24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b/>
      <w:bCs/>
      <w:color w:val="808080"/>
      <w:sz w:val="96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noProof/>
      <w:sz w:val="44"/>
      <w:szCs w:val="3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pPr>
      <w:jc w:val="both"/>
    </w:pPr>
    <w:rPr>
      <w:rFonts w:ascii="Times" w:eastAsia="Times" w:hAnsi="Times" w:cs="Times New Roman"/>
      <w:bCs/>
      <w:sz w:val="24"/>
      <w:lang w:val="es-ES_tradnl"/>
    </w:rPr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PiedepginaCar">
    <w:name w:val="Pie de página Car"/>
    <w:basedOn w:val="Fuentedeprrafopredeter"/>
    <w:rPr>
      <w:rFonts w:ascii="Arial Narrow" w:hAnsi="Arial Narrow" w:cs="Arial"/>
      <w:sz w:val="28"/>
    </w:rPr>
  </w:style>
  <w:style w:type="paragraph" w:styleId="Sangradetextonormal">
    <w:name w:val="Body Text Indent"/>
    <w:basedOn w:val="Normal"/>
    <w:semiHidden/>
    <w:pPr>
      <w:ind w:firstLine="708"/>
      <w:jc w:val="both"/>
    </w:pPr>
    <w:rPr>
      <w:rFonts w:ascii="Times New Roman" w:hAnsi="Times New Roman"/>
      <w:sz w:val="20"/>
    </w:rPr>
  </w:style>
  <w:style w:type="paragraph" w:styleId="Textoindependiente2">
    <w:name w:val="Body Text 2"/>
    <w:basedOn w:val="Normal"/>
    <w:semiHidden/>
    <w:unhideWhenUsed/>
    <w:pPr>
      <w:spacing w:after="120" w:line="480" w:lineRule="auto"/>
    </w:pPr>
    <w:rPr>
      <w:rFonts w:ascii="Adif Pc Futura LT Book" w:eastAsia="Times" w:hAnsi="Adif Pc Futura LT Book"/>
      <w:sz w:val="24"/>
      <w:lang w:val="es-ES_tradnl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xtoindependiente3">
    <w:name w:val="Body Text 3"/>
    <w:basedOn w:val="Normal"/>
    <w:semiHidden/>
    <w:pPr>
      <w:ind w:right="-81"/>
      <w:jc w:val="both"/>
    </w:pPr>
  </w:style>
  <w:style w:type="paragraph" w:styleId="Sangra2detindependiente">
    <w:name w:val="Body Text Indent 2"/>
    <w:basedOn w:val="Normal"/>
    <w:semiHidden/>
    <w:pPr>
      <w:autoSpaceDE w:val="0"/>
      <w:autoSpaceDN w:val="0"/>
      <w:adjustRightInd w:val="0"/>
      <w:ind w:left="708"/>
      <w:jc w:val="both"/>
    </w:pPr>
    <w:rPr>
      <w:rFonts w:ascii="Verdana" w:hAnsi="Verdana" w:cs="Times New Roman"/>
      <w:sz w:val="24"/>
      <w:szCs w:val="24"/>
    </w:rPr>
  </w:style>
  <w:style w:type="character" w:styleId="Textoennegrita">
    <w:name w:val="Strong"/>
    <w:basedOn w:val="Fuentedeprrafopredeter"/>
    <w:qFormat/>
    <w:rPr>
      <w:b/>
      <w:bCs/>
    </w:rPr>
  </w:style>
  <w:style w:type="paragraph" w:customStyle="1" w:styleId="NDICE">
    <w:name w:val="ÍNDICE"/>
    <w:basedOn w:val="Normal"/>
    <w:pPr>
      <w:tabs>
        <w:tab w:val="right" w:pos="9781"/>
      </w:tabs>
      <w:suppressAutoHyphens/>
      <w:spacing w:after="120" w:line="360" w:lineRule="auto"/>
      <w:jc w:val="both"/>
    </w:pPr>
    <w:rPr>
      <w:rFonts w:ascii="Arial" w:hAnsi="Arial" w:cs="Times New Roman"/>
      <w:b/>
      <w:sz w:val="24"/>
    </w:rPr>
  </w:style>
  <w:style w:type="paragraph" w:customStyle="1" w:styleId="tres">
    <w:name w:val="tre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customStyle="1" w:styleId="tabla">
    <w:name w:val="tabla"/>
    <w:basedOn w:val="Normal"/>
    <w:pPr>
      <w:spacing w:before="120" w:after="120"/>
      <w:jc w:val="center"/>
    </w:pPr>
    <w:rPr>
      <w:rFonts w:ascii="Arial" w:hAnsi="Arial" w:cs="Times New Roman"/>
      <w:sz w:val="16"/>
      <w:szCs w:val="24"/>
      <w:lang w:val="es-ES_tradn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qFormat/>
    <w:pPr>
      <w:ind w:left="708"/>
    </w:p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nsa.este@adif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apgmnmad005\Plantilla\Plantilla%20Nota%20Prensa%20(8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Nota Prensa (8).dot</Template>
  <TotalTime>1</TotalTime>
  <Pages>2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Antetítulo</vt:lpstr>
    </vt:vector>
  </TitlesOfParts>
  <Company>&lt;Ministerio de Fomento&gt;</Company>
  <LinksUpToDate>false</LinksUpToDate>
  <CharactersWithSpaces>2488</CharactersWithSpaces>
  <SharedDoc>false</SharedDoc>
  <HLinks>
    <vt:vector size="6" baseType="variant">
      <vt:variant>
        <vt:i4>6881281</vt:i4>
      </vt:variant>
      <vt:variant>
        <vt:i4>3</vt:i4>
      </vt:variant>
      <vt:variant>
        <vt:i4>0</vt:i4>
      </vt:variant>
      <vt:variant>
        <vt:i4>5</vt:i4>
      </vt:variant>
      <vt:variant>
        <vt:lpwstr>mailto:prensa.este@adif.es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Antetítulo</dc:title>
  <dc:creator>Ministerio de Fomento. Gobierno de España</dc:creator>
  <cp:lastModifiedBy>Penelope</cp:lastModifiedBy>
  <cp:revision>2</cp:revision>
  <cp:lastPrinted>2015-03-16T10:24:00Z</cp:lastPrinted>
  <dcterms:created xsi:type="dcterms:W3CDTF">2015-03-16T17:49:00Z</dcterms:created>
  <dcterms:modified xsi:type="dcterms:W3CDTF">2015-03-16T17:49:00Z</dcterms:modified>
</cp:coreProperties>
</file>